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0F9E" w14:textId="77777777" w:rsidR="00190A03" w:rsidRDefault="00190A03" w:rsidP="00666325">
      <w:pPr>
        <w:jc w:val="center"/>
        <w:rPr>
          <w:rFonts w:ascii="Optima" w:hAnsi="Optima"/>
          <w:b/>
          <w:bCs/>
          <w:color w:val="0682A1"/>
          <w:sz w:val="28"/>
          <w:szCs w:val="28"/>
        </w:rPr>
      </w:pPr>
    </w:p>
    <w:p w14:paraId="612173B4" w14:textId="5FAD2645" w:rsidR="003609EF" w:rsidRPr="00190A03" w:rsidRDefault="00616969" w:rsidP="00666325">
      <w:pPr>
        <w:jc w:val="center"/>
        <w:rPr>
          <w:rFonts w:ascii="Optima" w:hAnsi="Optima"/>
          <w:b/>
          <w:bCs/>
          <w:color w:val="0682A1"/>
          <w:sz w:val="28"/>
          <w:szCs w:val="28"/>
        </w:rPr>
      </w:pPr>
      <w:r w:rsidRPr="00190A03">
        <w:rPr>
          <w:rFonts w:ascii="Optima" w:hAnsi="Optima"/>
          <w:b/>
          <w:bCs/>
          <w:color w:val="0682A1"/>
          <w:sz w:val="28"/>
          <w:szCs w:val="28"/>
        </w:rPr>
        <w:t>CLÁUSULA</w:t>
      </w:r>
      <w:r w:rsidRPr="00190A03">
        <w:rPr>
          <w:rFonts w:ascii="Optima" w:hAnsi="Optima"/>
          <w:b/>
          <w:bCs/>
          <w:color w:val="0682A1"/>
          <w:spacing w:val="10"/>
          <w:sz w:val="28"/>
          <w:szCs w:val="28"/>
        </w:rPr>
        <w:t xml:space="preserve"> </w:t>
      </w:r>
      <w:r w:rsidR="00077129" w:rsidRPr="00190A03">
        <w:rPr>
          <w:rFonts w:ascii="Optima" w:hAnsi="Optima"/>
          <w:b/>
          <w:bCs/>
          <w:color w:val="0682A1"/>
          <w:sz w:val="28"/>
          <w:szCs w:val="28"/>
        </w:rPr>
        <w:t>MODELO DE JUNTA DE RESOLUCIÓN DE DISPUTAS DE CEAR LATINOAMERICANO</w:t>
      </w:r>
    </w:p>
    <w:p w14:paraId="5EFCC35B" w14:textId="77777777" w:rsidR="0036040D" w:rsidRPr="00190A03" w:rsidRDefault="0036040D" w:rsidP="003609EF">
      <w:pPr>
        <w:jc w:val="center"/>
        <w:rPr>
          <w:rFonts w:ascii="Optima" w:hAnsi="Optima"/>
          <w:b/>
          <w:bCs/>
          <w:color w:val="0682A1"/>
          <w:sz w:val="20"/>
          <w:szCs w:val="20"/>
        </w:rPr>
      </w:pPr>
    </w:p>
    <w:p w14:paraId="28BDDD75" w14:textId="26811EF5" w:rsidR="00077129" w:rsidRPr="00190A03" w:rsidRDefault="00077129" w:rsidP="00666325">
      <w:pPr>
        <w:spacing w:line="276" w:lineRule="auto"/>
        <w:jc w:val="both"/>
        <w:rPr>
          <w:rFonts w:ascii="Optima" w:hAnsi="Optima"/>
          <w:sz w:val="20"/>
          <w:szCs w:val="20"/>
        </w:rPr>
      </w:pPr>
      <w:r w:rsidRPr="00190A03">
        <w:rPr>
          <w:rFonts w:ascii="Optima" w:hAnsi="Optima"/>
          <w:sz w:val="20"/>
          <w:szCs w:val="20"/>
        </w:rPr>
        <w:t>Las partes acuerdan que, para la solución de todas las disputas o controversias derivadas con la ejecución del contrato de obra, se conformará una Junta de Resolución de Disputas, la cual estará bajo la organización y administración del Centro de Arbitraje Latinoamericano e Investigaciones Jurídicas (en adelante, “CEAR LATINOAMERICANO”), conforme a su estatuto, reglamentos y demás documentos normativos que puediera emitir para un mejor desarrollo del servicio; para tal efecto, las partes se someten libre y voluntariamente, aplicándose el orden de prelación normativo de la ley o reglamento de especialidad (entiéndase la Ley y Reglamento de Contrataciones del Estado aplicable al contrato de obra, Directivas, etc).</w:t>
      </w:r>
    </w:p>
    <w:p w14:paraId="00112D01" w14:textId="15D1A3AF" w:rsidR="00077129" w:rsidRPr="00190A03" w:rsidRDefault="00077129" w:rsidP="00666325">
      <w:pPr>
        <w:spacing w:line="276" w:lineRule="auto"/>
        <w:jc w:val="both"/>
        <w:rPr>
          <w:rFonts w:ascii="Optima" w:hAnsi="Optima"/>
          <w:sz w:val="20"/>
          <w:szCs w:val="20"/>
        </w:rPr>
      </w:pPr>
      <w:r w:rsidRPr="00190A03">
        <w:rPr>
          <w:rFonts w:ascii="Optima" w:hAnsi="Optima"/>
          <w:sz w:val="20"/>
          <w:szCs w:val="20"/>
        </w:rPr>
        <w:t>La Junta de Resolución de Disputas estará compuesta por [un/tres] miembro(s), el/ los cual/es será/n designado/s conforme a las normas aplicables a la Junta de Resolución de Disputas.</w:t>
      </w:r>
    </w:p>
    <w:p w14:paraId="24CEDEC6" w14:textId="428D6130" w:rsidR="00077129" w:rsidRPr="00190A03" w:rsidRDefault="00077129" w:rsidP="00666325">
      <w:pPr>
        <w:spacing w:line="276" w:lineRule="auto"/>
        <w:jc w:val="both"/>
        <w:rPr>
          <w:rFonts w:ascii="Optima" w:hAnsi="Optima"/>
          <w:sz w:val="20"/>
          <w:szCs w:val="20"/>
        </w:rPr>
      </w:pPr>
      <w:r w:rsidRPr="00190A03">
        <w:rPr>
          <w:rFonts w:ascii="Optima" w:hAnsi="Optima"/>
          <w:sz w:val="20"/>
          <w:szCs w:val="20"/>
        </w:rPr>
        <w:t>La decisión de la Junta de Resolución de Disputas es de inmediato y obligatorio cumplimiento para las partes conforme a las normas aplicables de la especialidad para JRD; el incumplimiento de lo decidido por la JRD habilita a la parte afectada para resolver el contrato o utilizar los apremios que señale la ley o el reglamento de la especialidad o el Reglamento para JRD de CEAR LATINOAMERICANO; en igual sentido, si una de las partes no está de acuerdo con la decisión emitida por la JRD podrá someterla a arbitraje de conformidad con el Reglamento de CEAR LATINOAMERICANO.</w:t>
      </w:r>
    </w:p>
    <w:p w14:paraId="75260F8B" w14:textId="02AAC339" w:rsidR="0014731C" w:rsidRPr="00190A03" w:rsidRDefault="00077129" w:rsidP="00666325">
      <w:pPr>
        <w:spacing w:line="276" w:lineRule="auto"/>
        <w:jc w:val="both"/>
        <w:rPr>
          <w:rFonts w:ascii="Optima" w:hAnsi="Optima"/>
          <w:sz w:val="20"/>
          <w:szCs w:val="20"/>
        </w:rPr>
      </w:pPr>
      <w:r w:rsidRPr="00190A03">
        <w:rPr>
          <w:rFonts w:ascii="Optima" w:hAnsi="Optima"/>
          <w:sz w:val="20"/>
          <w:szCs w:val="20"/>
        </w:rPr>
        <w:t>Las partes están obligadas a iniciar el arbitraje dentro del plazo de caducidad que establezca la ley aplicable y en los supuestos allí previstos, según el reglamento de la especialidad o el Reglamento de CEAR LATINOAMERICANO; para ello deberán presentar su solicitud de arbitraje de acuerdo con el Reglamento Procesal de Arbitraje de CEAR LATINOAMERICANO</w:t>
      </w:r>
      <w:r w:rsidR="00616969" w:rsidRPr="00190A03">
        <w:rPr>
          <w:rFonts w:ascii="Optima" w:hAnsi="Optima"/>
          <w:sz w:val="20"/>
          <w:szCs w:val="20"/>
        </w:rPr>
        <w:t>.</w:t>
      </w:r>
    </w:p>
    <w:sectPr w:rsidR="0014731C" w:rsidRPr="00190A03" w:rsidSect="00037D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9030" w14:textId="77777777" w:rsidR="003C4267" w:rsidRDefault="003C4267" w:rsidP="00616969">
      <w:pPr>
        <w:spacing w:after="0" w:line="240" w:lineRule="auto"/>
      </w:pPr>
      <w:r>
        <w:separator/>
      </w:r>
    </w:p>
  </w:endnote>
  <w:endnote w:type="continuationSeparator" w:id="0">
    <w:p w14:paraId="4BA7497E" w14:textId="77777777" w:rsidR="003C4267" w:rsidRDefault="003C4267" w:rsidP="0061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3CF0" w14:textId="77777777" w:rsidR="00F143C6" w:rsidRDefault="00F143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846"/>
      <w:gridCol w:w="3971"/>
    </w:tblGrid>
    <w:tr w:rsidR="00577E68" w14:paraId="6BBBDC5C" w14:textId="77777777" w:rsidTr="00F143C6">
      <w:trPr>
        <w:trHeight w:val="1701"/>
      </w:trPr>
      <w:tc>
        <w:tcPr>
          <w:tcW w:w="2501" w:type="pct"/>
        </w:tcPr>
        <w:p w14:paraId="4236D853" w14:textId="575CC607" w:rsidR="004D688C" w:rsidRPr="0014731C" w:rsidRDefault="00000000" w:rsidP="0014731C">
          <w:pPr>
            <w:pStyle w:val="Piedepgina"/>
            <w:tabs>
              <w:tab w:val="clear" w:pos="4419"/>
              <w:tab w:val="center" w:pos="4245"/>
            </w:tabs>
            <w:ind w:right="-324"/>
            <w:rPr>
              <w:rFonts w:ascii="Optima" w:hAnsi="Optima"/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Optima" w:hAnsi="Optima"/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886384654"/>
              <w:placeholder>
                <w:docPart w:val="0DC4DFE293EDEA4AB80EB6A11BDAC64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D688C" w:rsidRPr="0014731C">
                <w:rPr>
                  <w:rFonts w:ascii="Optima" w:hAnsi="Optima"/>
                  <w:caps/>
                  <w:color w:val="FFFFFF" w:themeColor="background1"/>
                  <w:sz w:val="18"/>
                  <w:szCs w:val="18"/>
                </w:rPr>
                <w:t>“GARANTÍA DE UN ARBITRAJE EFICIENTE Y TRANSPARENTE</w:t>
              </w:r>
              <w:r w:rsidR="0014731C" w:rsidRPr="0014731C">
                <w:rPr>
                  <w:rFonts w:ascii="Optima" w:hAnsi="Optima"/>
                  <w:caps/>
                  <w:color w:val="FFFFFF" w:themeColor="background1"/>
                  <w:sz w:val="18"/>
                  <w:szCs w:val="18"/>
                </w:rPr>
                <w:t>”</w:t>
              </w:r>
            </w:sdtContent>
          </w:sdt>
        </w:p>
      </w:tc>
      <w:tc>
        <w:tcPr>
          <w:tcW w:w="439" w:type="pct"/>
        </w:tcPr>
        <w:p w14:paraId="4D15B64D" w14:textId="77777777" w:rsidR="004D688C" w:rsidRDefault="004D688C">
          <w:pPr>
            <w:pStyle w:val="Piedepgina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060" w:type="pct"/>
        </w:tcPr>
        <w:sdt>
          <w:sdtPr>
            <w:rPr>
              <w:rFonts w:ascii="Optima" w:hAnsi="Optima" w:cs="Poppins"/>
              <w:color w:val="000000" w:themeColor="text1"/>
              <w:w w:val="95"/>
              <w:sz w:val="15"/>
              <w:szCs w:val="15"/>
            </w:rPr>
            <w:alias w:val="Autor"/>
            <w:tag w:val=""/>
            <w:id w:val="1205441952"/>
            <w:placeholder>
              <w:docPart w:val="45CDE95FDB18614483F688DF2D6C184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FF931F" w14:textId="051A0C40" w:rsidR="004D688C" w:rsidRPr="00B85EE7" w:rsidRDefault="00037D8B" w:rsidP="003609D4">
              <w:pPr>
                <w:pStyle w:val="Piedepgina"/>
                <w:ind w:left="849"/>
                <w:jc w:val="right"/>
                <w:rPr>
                  <w:caps/>
                  <w:color w:val="0682A1"/>
                  <w:sz w:val="15"/>
                  <w:szCs w:val="15"/>
                </w:rPr>
              </w:pPr>
              <w:r w:rsidRP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>Av. Faustino Sánchez Carrión 615 - Edificio Vértice 22,</w:t>
              </w:r>
              <w:r w:rsid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 xml:space="preserve"> </w:t>
              </w:r>
              <w:r w:rsidRP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>Oficina 306,</w:t>
              </w:r>
              <w:r w:rsidR="00736240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 xml:space="preserve"> </w:t>
              </w:r>
              <w:r w:rsidRP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>Jesús María – Lima.</w:t>
              </w:r>
              <w:r w:rsid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 xml:space="preserve"> </w:t>
              </w:r>
              <w:r w:rsidRPr="00B85EE7">
                <w:rPr>
                  <w:rFonts w:ascii="Optima" w:hAnsi="Optima" w:cs="Poppins"/>
                  <w:color w:val="000000" w:themeColor="text1"/>
                  <w:w w:val="95"/>
                  <w:sz w:val="15"/>
                  <w:szCs w:val="15"/>
                </w:rPr>
                <w:t>arbitraje@cearlatinoamericano.pe www.cearlatinoamericano.pe</w:t>
              </w:r>
            </w:p>
          </w:sdtContent>
        </w:sdt>
      </w:tc>
    </w:tr>
  </w:tbl>
  <w:p w14:paraId="7FEFE5FA" w14:textId="73638459" w:rsidR="004D688C" w:rsidRDefault="001473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D95240" wp14:editId="2F868413">
              <wp:simplePos x="0" y="0"/>
              <wp:positionH relativeFrom="column">
                <wp:posOffset>-149832</wp:posOffset>
              </wp:positionH>
              <wp:positionV relativeFrom="paragraph">
                <wp:posOffset>-1141813</wp:posOffset>
              </wp:positionV>
              <wp:extent cx="3387255" cy="262393"/>
              <wp:effectExtent l="0" t="0" r="2540" b="4445"/>
              <wp:wrapNone/>
              <wp:docPr id="101736515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7255" cy="262393"/>
                      </a:xfrm>
                      <a:prstGeom prst="rect">
                        <a:avLst/>
                      </a:prstGeom>
                      <a:solidFill>
                        <a:srgbClr val="0682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86B22" id="Rectángulo 3" o:spid="_x0000_s1026" style="position:absolute;margin-left:-11.8pt;margin-top:-89.9pt;width:266.7pt;height:2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" fillcolor="#0682a1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DDDC" w14:textId="77777777" w:rsidR="00F143C6" w:rsidRDefault="00F14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BD13" w14:textId="77777777" w:rsidR="003C4267" w:rsidRDefault="003C4267" w:rsidP="00616969">
      <w:pPr>
        <w:spacing w:after="0" w:line="240" w:lineRule="auto"/>
      </w:pPr>
      <w:r>
        <w:separator/>
      </w:r>
    </w:p>
  </w:footnote>
  <w:footnote w:type="continuationSeparator" w:id="0">
    <w:p w14:paraId="097BF203" w14:textId="77777777" w:rsidR="003C4267" w:rsidRDefault="003C4267" w:rsidP="0061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9D25" w14:textId="77777777" w:rsidR="00F143C6" w:rsidRDefault="00F143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D255" w14:textId="48B0BF4E" w:rsidR="00616969" w:rsidRDefault="00616969">
    <w:pPr>
      <w:pStyle w:val="Encabezado"/>
    </w:pPr>
    <w:r>
      <w:rPr>
        <w:noProof/>
      </w:rPr>
      <w:drawing>
        <wp:inline distT="0" distB="0" distL="0" distR="0" wp14:anchorId="3FA7FE42" wp14:editId="157DEBEE">
          <wp:extent cx="2389246" cy="636105"/>
          <wp:effectExtent l="0" t="0" r="0" b="0"/>
          <wp:docPr id="20916810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81087" name="Imagen 209168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547" cy="676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94512" w14:textId="77777777" w:rsidR="00616969" w:rsidRDefault="006169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C5F0" w14:textId="77777777" w:rsidR="00F143C6" w:rsidRDefault="00F143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9"/>
    <w:rsid w:val="00037D8B"/>
    <w:rsid w:val="00077129"/>
    <w:rsid w:val="00113037"/>
    <w:rsid w:val="0014731C"/>
    <w:rsid w:val="00190A03"/>
    <w:rsid w:val="001F299D"/>
    <w:rsid w:val="002744D9"/>
    <w:rsid w:val="002A3A02"/>
    <w:rsid w:val="002C0676"/>
    <w:rsid w:val="002F5106"/>
    <w:rsid w:val="003425A0"/>
    <w:rsid w:val="0036040D"/>
    <w:rsid w:val="003609D4"/>
    <w:rsid w:val="003609EF"/>
    <w:rsid w:val="003C4267"/>
    <w:rsid w:val="00464259"/>
    <w:rsid w:val="004D688C"/>
    <w:rsid w:val="005042F6"/>
    <w:rsid w:val="00561325"/>
    <w:rsid w:val="00577E68"/>
    <w:rsid w:val="00616969"/>
    <w:rsid w:val="00630D45"/>
    <w:rsid w:val="00666325"/>
    <w:rsid w:val="006B0C23"/>
    <w:rsid w:val="00736240"/>
    <w:rsid w:val="00786ECC"/>
    <w:rsid w:val="007B43DC"/>
    <w:rsid w:val="008314C2"/>
    <w:rsid w:val="00872B48"/>
    <w:rsid w:val="008D12C5"/>
    <w:rsid w:val="008F721F"/>
    <w:rsid w:val="00945658"/>
    <w:rsid w:val="009730BC"/>
    <w:rsid w:val="009C054C"/>
    <w:rsid w:val="00A03661"/>
    <w:rsid w:val="00AA61D0"/>
    <w:rsid w:val="00AB51E6"/>
    <w:rsid w:val="00B85EE7"/>
    <w:rsid w:val="00C171B8"/>
    <w:rsid w:val="00CA1AB8"/>
    <w:rsid w:val="00D400A0"/>
    <w:rsid w:val="00D9385A"/>
    <w:rsid w:val="00DB151B"/>
    <w:rsid w:val="00E67C44"/>
    <w:rsid w:val="00F143C6"/>
    <w:rsid w:val="00F35D33"/>
    <w:rsid w:val="00F6092C"/>
    <w:rsid w:val="00F8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FA44C"/>
  <w15:chartTrackingRefBased/>
  <w15:docId w15:val="{5657A331-D28C-8247-8BB0-0DF4D8C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6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969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1696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16969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6969"/>
    <w:rPr>
      <w:lang w:val="es-ES_tradnl"/>
    </w:rPr>
  </w:style>
  <w:style w:type="paragraph" w:styleId="Ttulo">
    <w:name w:val="Title"/>
    <w:basedOn w:val="Normal"/>
    <w:link w:val="TtuloCar"/>
    <w:uiPriority w:val="10"/>
    <w:qFormat/>
    <w:rsid w:val="00616969"/>
    <w:pPr>
      <w:widowControl w:val="0"/>
      <w:autoSpaceDE w:val="0"/>
      <w:autoSpaceDN w:val="0"/>
      <w:spacing w:before="275" w:after="0" w:line="240" w:lineRule="auto"/>
      <w:ind w:left="383"/>
    </w:pPr>
    <w:rPr>
      <w:rFonts w:ascii="Tahoma" w:eastAsia="Tahoma" w:hAnsi="Tahoma" w:cs="Tahom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16969"/>
    <w:rPr>
      <w:rFonts w:ascii="Tahoma" w:eastAsia="Tahoma" w:hAnsi="Tahoma" w:cs="Tahoma"/>
      <w:b/>
      <w:bCs/>
      <w:kern w:val="0"/>
      <w:sz w:val="36"/>
      <w:szCs w:val="3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4DFE293EDEA4AB80EB6A11BDA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62B7-4BAD-8441-9FD0-617EC1C1664D}"/>
      </w:docPartPr>
      <w:docPartBody>
        <w:p w:rsidR="00173AFD" w:rsidRDefault="00732BF3" w:rsidP="00732BF3">
          <w:pPr>
            <w:pStyle w:val="0DC4DFE293EDEA4AB80EB6A11BDAC641"/>
          </w:pPr>
          <w:r>
            <w:rPr>
              <w:caps/>
              <w:color w:val="4472C4" w:themeColor="accent1"/>
              <w:sz w:val="18"/>
              <w:szCs w:val="18"/>
            </w:rPr>
            <w:t>[Título del documento]</w:t>
          </w:r>
        </w:p>
      </w:docPartBody>
    </w:docPart>
    <w:docPart>
      <w:docPartPr>
        <w:name w:val="45CDE95FDB18614483F688DF2D6C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12783-F3ED-A64D-BE67-BE8F046A60DA}"/>
      </w:docPartPr>
      <w:docPartBody>
        <w:p w:rsidR="00173AFD" w:rsidRDefault="00732BF3" w:rsidP="00732BF3">
          <w:pPr>
            <w:pStyle w:val="45CDE95FDB18614483F688DF2D6C1845"/>
          </w:pPr>
          <w:r>
            <w:rPr>
              <w:caps/>
              <w:color w:val="4472C4" w:themeColor="accent1"/>
              <w:sz w:val="18"/>
              <w:szCs w:val="18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F3"/>
    <w:rsid w:val="00173AFD"/>
    <w:rsid w:val="002E16E6"/>
    <w:rsid w:val="005A2D1F"/>
    <w:rsid w:val="00732BF3"/>
    <w:rsid w:val="00BA09B0"/>
    <w:rsid w:val="00E80D2B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C4DFE293EDEA4AB80EB6A11BDAC641">
    <w:name w:val="0DC4DFE293EDEA4AB80EB6A11BDAC641"/>
    <w:rsid w:val="00732BF3"/>
  </w:style>
  <w:style w:type="paragraph" w:customStyle="1" w:styleId="45CDE95FDB18614483F688DF2D6C1845">
    <w:name w:val="45CDE95FDB18614483F688DF2D6C1845"/>
    <w:rsid w:val="00732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“GARANTÍA DE UN ARBITRAJE EFICIENTE Y TRANSPARENTE”</dc:title>
  <dc:subject/>
  <dc:creator>Av. Faustino Sánchez Carrión 615 - Edificio Vértice 22, Oficina 306, Jesús María – Lima. arbitraje@cearlatinoamericano.pe www.cearlatinoamericano.pe</dc:creator>
  <cp:keywords/>
  <dc:description/>
  <cp:lastModifiedBy>CEAR LATINOAMERICANO</cp:lastModifiedBy>
  <cp:revision>2</cp:revision>
  <dcterms:created xsi:type="dcterms:W3CDTF">2023-07-06T22:24:00Z</dcterms:created>
  <dcterms:modified xsi:type="dcterms:W3CDTF">2023-07-06T22:24:00Z</dcterms:modified>
</cp:coreProperties>
</file>